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B578" w14:textId="04195AE7"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926446">
        <w:rPr>
          <w:rFonts w:ascii="Arial" w:eastAsia="Batang" w:hAnsi="Arial" w:cs="Arial"/>
          <w:b/>
          <w:bCs/>
          <w:sz w:val="28"/>
          <w:szCs w:val="24"/>
        </w:rPr>
        <w:t> </w:t>
      </w:r>
      <w:r w:rsidR="00926446" w:rsidRPr="00926446">
        <w:rPr>
          <w:rFonts w:ascii="Arial" w:eastAsia="Batang" w:hAnsi="Arial" w:cs="Arial"/>
          <w:b/>
          <w:bCs/>
          <w:sz w:val="28"/>
          <w:szCs w:val="24"/>
        </w:rPr>
        <w:t>10</w:t>
      </w:r>
      <w:r w:rsidR="00522D85">
        <w:rPr>
          <w:rFonts w:ascii="Arial" w:eastAsia="Batang" w:hAnsi="Arial" w:cs="Arial"/>
          <w:b/>
          <w:bCs/>
          <w:sz w:val="28"/>
          <w:szCs w:val="24"/>
        </w:rPr>
        <w:t>3</w:t>
      </w:r>
      <w:r w:rsidR="00926446">
        <w:rPr>
          <w:rFonts w:ascii="Arial" w:eastAsia="Batang" w:hAnsi="Arial" w:cs="Arial"/>
          <w:b/>
          <w:bCs/>
          <w:sz w:val="28"/>
          <w:szCs w:val="24"/>
        </w:rPr>
        <w:t xml:space="preserve">-e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AA59AA" w:rsidRPr="00AA59AA">
        <w:rPr>
          <w:rFonts w:ascii="Arial" w:eastAsia="Batang" w:hAnsi="Arial" w:cs="Arial"/>
          <w:b/>
          <w:bCs/>
          <w:sz w:val="28"/>
          <w:szCs w:val="24"/>
        </w:rPr>
        <w:t>R1-2008989</w:t>
      </w:r>
    </w:p>
    <w:p w14:paraId="1C206E17" w14:textId="43C16538"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522D85" w:rsidRPr="00030A95">
        <w:rPr>
          <w:rFonts w:ascii="Arial" w:eastAsia="MS Mincho" w:hAnsi="Arial" w:cs="Arial"/>
          <w:b/>
          <w:bCs/>
          <w:sz w:val="28"/>
          <w:szCs w:val="24"/>
          <w:lang w:eastAsia="ja-JP"/>
        </w:rPr>
        <w:t>October 26</w:t>
      </w:r>
      <w:r w:rsidR="00522D85" w:rsidRPr="00030A95">
        <w:rPr>
          <w:rFonts w:ascii="Arial" w:eastAsia="MS Mincho" w:hAnsi="Arial" w:cs="Arial"/>
          <w:b/>
          <w:bCs/>
          <w:sz w:val="28"/>
          <w:szCs w:val="24"/>
          <w:vertAlign w:val="superscript"/>
          <w:lang w:eastAsia="ja-JP"/>
        </w:rPr>
        <w:t>th</w:t>
      </w:r>
      <w:r w:rsidR="00522D85" w:rsidRPr="00030A95">
        <w:rPr>
          <w:rFonts w:ascii="Arial" w:eastAsia="MS Mincho" w:hAnsi="Arial" w:cs="Arial"/>
          <w:b/>
          <w:bCs/>
          <w:sz w:val="28"/>
          <w:szCs w:val="24"/>
          <w:lang w:eastAsia="ja-JP"/>
        </w:rPr>
        <w:t xml:space="preserve"> – November 13</w:t>
      </w:r>
      <w:r w:rsidR="00522D85" w:rsidRPr="00030A95">
        <w:rPr>
          <w:rFonts w:ascii="Arial" w:eastAsia="MS Mincho" w:hAnsi="Arial" w:cs="Arial"/>
          <w:b/>
          <w:bCs/>
          <w:sz w:val="28"/>
          <w:szCs w:val="24"/>
          <w:vertAlign w:val="superscript"/>
          <w:lang w:eastAsia="ja-JP"/>
        </w:rPr>
        <w:t>th</w:t>
      </w:r>
      <w:r w:rsidR="00522D85">
        <w:rPr>
          <w:rFonts w:ascii="Arial" w:eastAsia="MS Mincho" w:hAnsi="Arial" w:cs="Arial"/>
          <w:b/>
          <w:bCs/>
          <w:sz w:val="28"/>
          <w:szCs w:val="24"/>
          <w:lang w:eastAsia="ja-JP"/>
        </w:rPr>
        <w:t>, 2020</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2E7CAE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FC70BF">
        <w:rPr>
          <w:rFonts w:ascii="Arial" w:eastAsia="Malgun Gothic" w:hAnsi="Arial" w:cs="Arial"/>
          <w:b/>
          <w:sz w:val="24"/>
          <w:lang w:val="en-US" w:eastAsia="ko-KR"/>
        </w:rPr>
        <w:t>t</w:t>
      </w:r>
      <w:r w:rsidR="00FC70BF" w:rsidRPr="00FC70BF">
        <w:rPr>
          <w:rFonts w:ascii="Arial" w:eastAsia="Malgun Gothic" w:hAnsi="Arial" w:cs="Arial"/>
          <w:b/>
          <w:sz w:val="24"/>
          <w:lang w:val="en-US" w:eastAsia="ko-KR"/>
        </w:rPr>
        <w:t>iming relationship enhancements</w:t>
      </w:r>
      <w:r w:rsidR="00D2228D">
        <w:rPr>
          <w:rFonts w:ascii="Arial" w:eastAsia="Malgun Gothic" w:hAnsi="Arial" w:cs="Arial"/>
          <w:b/>
          <w:sz w:val="24"/>
          <w:lang w:val="en-US" w:eastAsia="ko-KR"/>
        </w:rPr>
        <w:t xml:space="preserve"> for NTN</w:t>
      </w:r>
    </w:p>
    <w:p w14:paraId="3596330A" w14:textId="3AAD382C"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w:t>
      </w:r>
      <w:r w:rsidR="00FC70BF">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4C563A3"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FD10D8">
        <w:rPr>
          <w:sz w:val="22"/>
          <w:szCs w:val="22"/>
          <w:lang w:val="en-US" w:eastAsia="ko-KR"/>
        </w:rPr>
        <w:t xml:space="preserve">The NTN </w:t>
      </w:r>
      <w:r w:rsidR="005422FB" w:rsidRPr="000B4ADF">
        <w:rPr>
          <w:sz w:val="22"/>
          <w:szCs w:val="22"/>
          <w:lang w:val="en-US" w:eastAsia="ko-KR"/>
        </w:rPr>
        <w:t>WI</w:t>
      </w:r>
      <w:r w:rsidR="0024648C" w:rsidRPr="000B4ADF">
        <w:rPr>
          <w:sz w:val="22"/>
          <w:szCs w:val="22"/>
          <w:lang w:val="en-US" w:eastAsia="ko-KR"/>
        </w:rPr>
        <w:t xml:space="preserve"> aims to specify enhancements identified for NR NTN </w:t>
      </w:r>
      <w:r w:rsidR="00473EFF">
        <w:rPr>
          <w:sz w:val="22"/>
          <w:szCs w:val="22"/>
          <w:lang w:val="en-US" w:eastAsia="ko-KR"/>
        </w:rPr>
        <w:t>(</w:t>
      </w:r>
      <w:r w:rsidR="0024648C" w:rsidRPr="000B4ADF">
        <w:rPr>
          <w:sz w:val="22"/>
          <w:szCs w:val="22"/>
          <w:lang w:val="en-US" w:eastAsia="ko-KR"/>
        </w:rPr>
        <w:t>especially LEO and GEO</w:t>
      </w:r>
      <w:r w:rsidR="00473EFF">
        <w:rPr>
          <w:sz w:val="22"/>
          <w:szCs w:val="22"/>
          <w:lang w:val="en-US" w:eastAsia="ko-KR"/>
        </w:rPr>
        <w:t>)</w:t>
      </w:r>
      <w:r w:rsidR="0024648C" w:rsidRPr="000B4ADF">
        <w:rPr>
          <w:sz w:val="22"/>
          <w:szCs w:val="22"/>
          <w:lang w:val="en-US" w:eastAsia="ko-KR"/>
        </w:rPr>
        <w:t xml:space="preserve">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74BAC4BA"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According to</w:t>
      </w:r>
      <w:r w:rsidR="00473EFF">
        <w:rPr>
          <w:sz w:val="22"/>
          <w:szCs w:val="22"/>
          <w:lang w:eastAsia="ko-KR"/>
        </w:rPr>
        <w:t xml:space="preserve"> </w:t>
      </w:r>
      <w:r w:rsidR="00473EFF" w:rsidRPr="00CF7DE4">
        <w:rPr>
          <w:sz w:val="22"/>
          <w:lang w:eastAsia="zh-CN"/>
        </w:rPr>
        <w:t>3GPP TR 38.821</w:t>
      </w:r>
      <w:r w:rsidRPr="000B4ADF">
        <w:rPr>
          <w:sz w:val="22"/>
          <w:szCs w:val="22"/>
          <w:lang w:eastAsia="ko-KR"/>
        </w:rPr>
        <w:t xml:space="preserve"> [2] there are some issues to support NTN with 5G NR due to long propagation delays, large Doppler effects, and moving cells</w:t>
      </w:r>
      <w:r w:rsidR="001E181F" w:rsidRPr="000B4ADF">
        <w:rPr>
          <w:sz w:val="22"/>
          <w:szCs w:val="22"/>
          <w:lang w:eastAsia="ko-KR"/>
        </w:rPr>
        <w:t xml:space="preserve">. </w:t>
      </w:r>
      <w:r w:rsidR="005A75DF">
        <w:rPr>
          <w:sz w:val="22"/>
          <w:szCs w:val="22"/>
          <w:lang w:eastAsia="ko-KR"/>
        </w:rPr>
        <w:t xml:space="preserve">Multiple features of NR specification should be enhanced to support NTN including timing relationship. In this contribution </w:t>
      </w:r>
      <w:r w:rsidR="005A75DF" w:rsidRPr="005A75DF">
        <w:rPr>
          <w:sz w:val="22"/>
          <w:szCs w:val="22"/>
          <w:lang w:eastAsia="ko-KR"/>
        </w:rPr>
        <w:t>timing relationship enhancements for N</w:t>
      </w:r>
      <w:r w:rsidR="005A75DF">
        <w:rPr>
          <w:sz w:val="22"/>
          <w:szCs w:val="22"/>
          <w:lang w:eastAsia="ko-KR"/>
        </w:rPr>
        <w:t>R to support NTN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14D95BD" w14:textId="0E7262D6" w:rsidR="00EF56BA" w:rsidRDefault="00D30E2B" w:rsidP="00552B68">
      <w:pPr>
        <w:jc w:val="both"/>
        <w:rPr>
          <w:sz w:val="22"/>
          <w:szCs w:val="22"/>
        </w:rPr>
      </w:pPr>
      <w:r w:rsidRPr="00D30E2B">
        <w:rPr>
          <w:sz w:val="22"/>
          <w:szCs w:val="22"/>
        </w:rPr>
        <w:t>Timing relationships were discussed in the study item on solutions for NR to support NTN [2]. Large timing advance (TA) is applied by the UE in order to compensate large propagation delay observed in NTN. Considering the autonomous timing pre-compensation capabilities at the UE side based on GNSS, the actual TA is a combination of TA value derived at the UE side based on GNSS and TA indicated to the UE as part of NR UL timing synchronisation procedure specified in Rel. 15</w:t>
      </w:r>
      <w:r w:rsidR="006037D8">
        <w:rPr>
          <w:sz w:val="22"/>
          <w:szCs w:val="22"/>
        </w:rPr>
        <w:t xml:space="preserve"> NR</w:t>
      </w:r>
      <w:r w:rsidRPr="00D30E2B">
        <w:rPr>
          <w:sz w:val="22"/>
          <w:szCs w:val="22"/>
        </w:rPr>
        <w:t xml:space="preserve">. </w:t>
      </w:r>
      <w:r w:rsidR="00234AEE">
        <w:rPr>
          <w:sz w:val="22"/>
          <w:szCs w:val="22"/>
        </w:rPr>
        <w:t>In order to avoid the case where UE should transmit PUSCH before</w:t>
      </w:r>
      <w:r w:rsidR="00A6679E">
        <w:rPr>
          <w:sz w:val="22"/>
          <w:szCs w:val="22"/>
        </w:rPr>
        <w:t xml:space="preserve"> reception of</w:t>
      </w:r>
      <w:r w:rsidR="00234AEE">
        <w:rPr>
          <w:sz w:val="22"/>
          <w:szCs w:val="22"/>
        </w:rPr>
        <w:t xml:space="preserve"> UL grant for that PUSCH due to large TA value, slot offset from the DCI to the target slot of PUSCH reception (without TA) should be larger than TA applied by the UE.</w:t>
      </w:r>
      <w:r w:rsidR="00944E9C">
        <w:rPr>
          <w:sz w:val="22"/>
          <w:szCs w:val="22"/>
        </w:rPr>
        <w:t xml:space="preserve"> In order to solve such problems at the last RAN1 meeting it was agreed to support common slot offset Koffset [3]</w:t>
      </w:r>
      <w:r w:rsidR="000E68A5">
        <w:rPr>
          <w:sz w:val="22"/>
          <w:szCs w:val="22"/>
        </w:rPr>
        <w:t>.</w:t>
      </w:r>
    </w:p>
    <w:tbl>
      <w:tblPr>
        <w:tblStyle w:val="TableGrid"/>
        <w:tblW w:w="0" w:type="auto"/>
        <w:tblLook w:val="04A0" w:firstRow="1" w:lastRow="0" w:firstColumn="1" w:lastColumn="0" w:noHBand="0" w:noVBand="1"/>
      </w:tblPr>
      <w:tblGrid>
        <w:gridCol w:w="10160"/>
      </w:tblGrid>
      <w:tr w:rsidR="000E68A5" w14:paraId="224DED33" w14:textId="77777777" w:rsidTr="000E68A5">
        <w:tc>
          <w:tcPr>
            <w:tcW w:w="10160" w:type="dxa"/>
          </w:tcPr>
          <w:p w14:paraId="112E332E" w14:textId="77777777" w:rsidR="000E68A5" w:rsidRPr="000E68A5" w:rsidRDefault="000E68A5" w:rsidP="000E68A5">
            <w:pPr>
              <w:overflowPunct/>
              <w:autoSpaceDE/>
              <w:autoSpaceDN/>
              <w:adjustRightInd/>
              <w:spacing w:after="0"/>
              <w:textAlignment w:val="auto"/>
              <w:rPr>
                <w:rFonts w:ascii="Calibri" w:hAnsi="Calibri" w:cs="Calibri"/>
                <w:sz w:val="22"/>
                <w:szCs w:val="22"/>
                <w:lang w:val="en-US" w:eastAsia="x-none"/>
              </w:rPr>
            </w:pPr>
            <w:bookmarkStart w:id="0" w:name="_Hlk49429056"/>
            <w:r w:rsidRPr="000E68A5">
              <w:rPr>
                <w:rFonts w:ascii="Calibri" w:hAnsi="Calibri" w:cs="Calibri"/>
                <w:sz w:val="22"/>
                <w:szCs w:val="22"/>
                <w:highlight w:val="green"/>
                <w:lang w:val="en-US" w:eastAsia="x-none"/>
              </w:rPr>
              <w:t>Agreement:</w:t>
            </w:r>
          </w:p>
          <w:p w14:paraId="346E36B7" w14:textId="77777777" w:rsidR="000E68A5" w:rsidRPr="000E68A5" w:rsidRDefault="000E68A5" w:rsidP="000E68A5">
            <w:pPr>
              <w:numPr>
                <w:ilvl w:val="0"/>
                <w:numId w:val="31"/>
              </w:numPr>
              <w:overflowPunct/>
              <w:autoSpaceDE/>
              <w:autoSpaceDN/>
              <w:adjustRightInd/>
              <w:spacing w:after="0"/>
              <w:textAlignment w:val="auto"/>
              <w:rPr>
                <w:rFonts w:ascii="Calibri" w:hAnsi="Calibri" w:cs="Calibri"/>
                <w:b/>
                <w:bCs/>
                <w:sz w:val="22"/>
                <w:szCs w:val="22"/>
                <w:u w:val="single"/>
                <w:lang w:val="en-US" w:eastAsia="x-none"/>
              </w:rPr>
            </w:pPr>
            <w:r w:rsidRPr="000E68A5">
              <w:rPr>
                <w:rFonts w:ascii="Calibri" w:hAnsi="Calibri" w:cs="Calibri"/>
                <w:sz w:val="22"/>
                <w:szCs w:val="22"/>
                <w:lang w:val="en-US" w:eastAsia="x-none"/>
              </w:rPr>
              <w:t>Introduce K_offset to enhance the following timing relationships:</w:t>
            </w:r>
          </w:p>
          <w:p w14:paraId="0335DD81" w14:textId="77777777" w:rsidR="000E68A5" w:rsidRPr="000E68A5" w:rsidRDefault="000E68A5" w:rsidP="000E68A5">
            <w:pPr>
              <w:numPr>
                <w:ilvl w:val="1"/>
                <w:numId w:val="31"/>
              </w:numPr>
              <w:overflowPunct/>
              <w:autoSpaceDE/>
              <w:autoSpaceDN/>
              <w:adjustRightInd/>
              <w:spacing w:after="0"/>
              <w:ind w:left="1080"/>
              <w:textAlignment w:val="auto"/>
              <w:rPr>
                <w:rFonts w:ascii="Calibri" w:hAnsi="Calibri" w:cs="Calibri"/>
                <w:b/>
                <w:bCs/>
                <w:sz w:val="22"/>
                <w:szCs w:val="22"/>
                <w:u w:val="single"/>
                <w:lang w:val="en-US" w:eastAsia="x-none"/>
              </w:rPr>
            </w:pPr>
            <w:r w:rsidRPr="000E68A5">
              <w:rPr>
                <w:rFonts w:ascii="Calibri" w:hAnsi="Calibri" w:cs="Calibri"/>
                <w:sz w:val="22"/>
                <w:szCs w:val="22"/>
                <w:lang w:val="en-US" w:eastAsia="x-none"/>
              </w:rPr>
              <w:t>The transmission timing of DCI scheduled PUSCH (including CSI on PUSCH).</w:t>
            </w:r>
          </w:p>
          <w:p w14:paraId="447F5B3B" w14:textId="77777777" w:rsidR="000E68A5" w:rsidRPr="000E68A5" w:rsidRDefault="000E68A5" w:rsidP="000E68A5">
            <w:pPr>
              <w:numPr>
                <w:ilvl w:val="1"/>
                <w:numId w:val="32"/>
              </w:numPr>
              <w:overflowPunct/>
              <w:autoSpaceDE/>
              <w:autoSpaceDN/>
              <w:adjustRightInd/>
              <w:spacing w:after="0"/>
              <w:ind w:left="1080"/>
              <w:textAlignment w:val="auto"/>
              <w:rPr>
                <w:rFonts w:ascii="Calibri" w:hAnsi="Calibri" w:cs="Calibri"/>
                <w:sz w:val="22"/>
                <w:szCs w:val="22"/>
                <w:lang w:val="en-US" w:eastAsia="x-none"/>
              </w:rPr>
            </w:pPr>
            <w:r w:rsidRPr="000E68A5">
              <w:rPr>
                <w:rFonts w:ascii="Calibri" w:hAnsi="Calibri" w:cs="Calibri"/>
                <w:sz w:val="22"/>
                <w:szCs w:val="22"/>
                <w:lang w:val="en-US" w:eastAsia="x-none"/>
              </w:rPr>
              <w:t>The transmission timing of RAR grant scheduled PUSCH.</w:t>
            </w:r>
          </w:p>
          <w:p w14:paraId="64DBB735" w14:textId="77777777" w:rsidR="000E68A5" w:rsidRPr="000E68A5" w:rsidRDefault="000E68A5" w:rsidP="000E68A5">
            <w:pPr>
              <w:numPr>
                <w:ilvl w:val="1"/>
                <w:numId w:val="32"/>
              </w:numPr>
              <w:overflowPunct/>
              <w:autoSpaceDE/>
              <w:autoSpaceDN/>
              <w:adjustRightInd/>
              <w:spacing w:after="0"/>
              <w:ind w:left="1080"/>
              <w:textAlignment w:val="auto"/>
              <w:rPr>
                <w:rFonts w:ascii="Calibri" w:hAnsi="Calibri" w:cs="Calibri"/>
                <w:sz w:val="22"/>
                <w:szCs w:val="22"/>
                <w:lang w:val="en-US" w:eastAsia="x-none"/>
              </w:rPr>
            </w:pPr>
            <w:r w:rsidRPr="000E68A5">
              <w:rPr>
                <w:rFonts w:ascii="Calibri" w:hAnsi="Calibri" w:cs="Calibri"/>
                <w:sz w:val="22"/>
                <w:szCs w:val="22"/>
                <w:lang w:val="en-US" w:eastAsia="x-none"/>
              </w:rPr>
              <w:t>The transmission timing of HARQ-ACK on PUCCH.</w:t>
            </w:r>
          </w:p>
          <w:p w14:paraId="5C1055C0" w14:textId="77777777" w:rsidR="000E68A5" w:rsidRPr="000E68A5" w:rsidRDefault="000E68A5" w:rsidP="000E68A5">
            <w:pPr>
              <w:numPr>
                <w:ilvl w:val="1"/>
                <w:numId w:val="32"/>
              </w:numPr>
              <w:overflowPunct/>
              <w:autoSpaceDE/>
              <w:autoSpaceDN/>
              <w:adjustRightInd/>
              <w:spacing w:after="0"/>
              <w:ind w:left="1080"/>
              <w:textAlignment w:val="auto"/>
              <w:rPr>
                <w:rFonts w:ascii="Calibri" w:hAnsi="Calibri" w:cs="Calibri"/>
                <w:sz w:val="22"/>
                <w:szCs w:val="22"/>
                <w:lang w:val="en-US" w:eastAsia="x-none"/>
              </w:rPr>
            </w:pPr>
            <w:r w:rsidRPr="000E68A5">
              <w:rPr>
                <w:rFonts w:ascii="Calibri" w:hAnsi="Calibri" w:cs="Calibri"/>
                <w:sz w:val="22"/>
                <w:szCs w:val="22"/>
                <w:lang w:val="en-US" w:eastAsia="x-none"/>
              </w:rPr>
              <w:t>The CSI reference resource timing.</w:t>
            </w:r>
          </w:p>
          <w:p w14:paraId="79B69D5C" w14:textId="77777777" w:rsidR="000E68A5" w:rsidRPr="000E68A5" w:rsidRDefault="000E68A5" w:rsidP="000E68A5">
            <w:pPr>
              <w:numPr>
                <w:ilvl w:val="1"/>
                <w:numId w:val="32"/>
              </w:numPr>
              <w:overflowPunct/>
              <w:autoSpaceDE/>
              <w:autoSpaceDN/>
              <w:adjustRightInd/>
              <w:spacing w:after="0"/>
              <w:ind w:left="1080"/>
              <w:textAlignment w:val="auto"/>
              <w:rPr>
                <w:rFonts w:ascii="Calibri" w:hAnsi="Calibri" w:cs="Calibri"/>
                <w:sz w:val="22"/>
                <w:szCs w:val="22"/>
                <w:lang w:val="en-US" w:eastAsia="x-none"/>
              </w:rPr>
            </w:pPr>
            <w:r w:rsidRPr="000E68A5">
              <w:rPr>
                <w:rFonts w:ascii="Calibri" w:hAnsi="Calibri" w:cs="Calibri"/>
                <w:sz w:val="22"/>
                <w:szCs w:val="22"/>
                <w:lang w:val="en-US" w:eastAsia="x-none"/>
              </w:rPr>
              <w:t>The transmission timing of aperiodic SRS.</w:t>
            </w:r>
          </w:p>
          <w:p w14:paraId="4A044EC0" w14:textId="7B6C3FDB" w:rsidR="000E68A5" w:rsidRPr="000E68A5" w:rsidRDefault="000E68A5" w:rsidP="000E68A5">
            <w:pPr>
              <w:numPr>
                <w:ilvl w:val="0"/>
                <w:numId w:val="32"/>
              </w:numPr>
              <w:overflowPunct/>
              <w:autoSpaceDE/>
              <w:autoSpaceDN/>
              <w:adjustRightInd/>
              <w:ind w:left="360"/>
              <w:textAlignment w:val="auto"/>
              <w:rPr>
                <w:rFonts w:ascii="Calibri" w:hAnsi="Calibri" w:cs="Calibri"/>
                <w:sz w:val="22"/>
                <w:szCs w:val="22"/>
                <w:lang w:val="en-US" w:eastAsia="x-none"/>
              </w:rPr>
            </w:pPr>
            <w:r w:rsidRPr="000E68A5">
              <w:rPr>
                <w:rFonts w:ascii="Calibri" w:hAnsi="Calibri" w:cs="Calibri"/>
                <w:sz w:val="22"/>
                <w:szCs w:val="22"/>
                <w:lang w:val="en-US" w:eastAsia="x-none"/>
              </w:rPr>
              <w:lastRenderedPageBreak/>
              <w:t>Note: Additional timing relationships that require K_offset of the same or different values can be further identified.</w:t>
            </w:r>
            <w:bookmarkEnd w:id="0"/>
          </w:p>
        </w:tc>
      </w:tr>
    </w:tbl>
    <w:p w14:paraId="418BEE9F" w14:textId="2DE4C1AE" w:rsidR="00041F14" w:rsidRPr="00041F14" w:rsidRDefault="00041F14" w:rsidP="00041F14">
      <w:pPr>
        <w:spacing w:before="240"/>
        <w:jc w:val="both"/>
        <w:rPr>
          <w:sz w:val="22"/>
          <w:szCs w:val="22"/>
        </w:rPr>
      </w:pPr>
      <w:r w:rsidRPr="00041F14">
        <w:rPr>
          <w:sz w:val="22"/>
          <w:szCs w:val="22"/>
          <w:lang w:val="en-US"/>
        </w:rPr>
        <w:lastRenderedPageBreak/>
        <w:t xml:space="preserve">One of the remaining topics for </w:t>
      </w:r>
      <w:r>
        <w:rPr>
          <w:sz w:val="22"/>
          <w:szCs w:val="22"/>
          <w:lang w:val="en-US"/>
        </w:rPr>
        <w:t>timing relationship enhancements for NTN is MAC CE DL action timing. Timing</w:t>
      </w:r>
      <w:r>
        <w:rPr>
          <w:sz w:val="22"/>
          <w:szCs w:val="22"/>
        </w:rPr>
        <w:t xml:space="preserve"> diagram</w:t>
      </w:r>
      <w:r w:rsidRPr="00041F14">
        <w:rPr>
          <w:sz w:val="22"/>
          <w:szCs w:val="22"/>
        </w:rPr>
        <w:t xml:space="preserve"> </w:t>
      </w:r>
      <w:r>
        <w:rPr>
          <w:sz w:val="22"/>
          <w:szCs w:val="22"/>
        </w:rPr>
        <w:t xml:space="preserve">for MAC-CE DL action is schematically represented below for the case where full signal propagation delay for transmission between UE and gNB is compensated at the UE side via TA. </w:t>
      </w:r>
    </w:p>
    <w:p w14:paraId="304E2C12" w14:textId="11109AD2" w:rsidR="00041F14" w:rsidRPr="00041F14" w:rsidRDefault="00C43E20" w:rsidP="00041F14">
      <w:pPr>
        <w:spacing w:before="240"/>
        <w:jc w:val="center"/>
      </w:pPr>
      <w:r>
        <w:object w:dxaOrig="9252" w:dyaOrig="4009" w14:anchorId="51C5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200.2pt" o:ole="">
            <v:imagedata r:id="rId11" o:title=""/>
          </v:shape>
          <o:OLEObject Type="Embed" ProgID="Visio.Drawing.15" ShapeID="_x0000_i1025" DrawAspect="Content" ObjectID="_1665032771" r:id="rId12"/>
        </w:object>
      </w:r>
    </w:p>
    <w:p w14:paraId="41FD6E01" w14:textId="2525187A" w:rsidR="00041F14" w:rsidRPr="00041F14" w:rsidRDefault="00041F14" w:rsidP="00041F14">
      <w:pPr>
        <w:spacing w:before="240"/>
        <w:jc w:val="center"/>
        <w:rPr>
          <w:sz w:val="24"/>
          <w:szCs w:val="24"/>
        </w:rPr>
      </w:pPr>
      <w:r w:rsidRPr="00041F14">
        <w:rPr>
          <w:b/>
          <w:bCs/>
          <w:sz w:val="22"/>
          <w:szCs w:val="22"/>
        </w:rPr>
        <w:t xml:space="preserve">Figure </w:t>
      </w:r>
      <w:r w:rsidR="008F082F">
        <w:rPr>
          <w:b/>
          <w:bCs/>
          <w:sz w:val="22"/>
          <w:szCs w:val="22"/>
        </w:rPr>
        <w:t>1</w:t>
      </w:r>
      <w:r w:rsidRPr="00041F14">
        <w:rPr>
          <w:sz w:val="22"/>
          <w:szCs w:val="22"/>
        </w:rPr>
        <w:t>. Timing diagram for MAC CE action for DL transmission</w:t>
      </w:r>
      <w:r w:rsidR="00722C62">
        <w:rPr>
          <w:sz w:val="22"/>
          <w:szCs w:val="22"/>
        </w:rPr>
        <w:t xml:space="preserve"> if TA corresponds to UE-gNB round trip delay</w:t>
      </w:r>
    </w:p>
    <w:p w14:paraId="3271F06F" w14:textId="635B7E21" w:rsidR="00041F14" w:rsidRDefault="00041F14" w:rsidP="00041F14">
      <w:pPr>
        <w:spacing w:before="240"/>
        <w:jc w:val="both"/>
        <w:rPr>
          <w:sz w:val="22"/>
          <w:szCs w:val="22"/>
        </w:rPr>
      </w:pPr>
      <w:r w:rsidRPr="00041F14">
        <w:rPr>
          <w:sz w:val="22"/>
          <w:szCs w:val="22"/>
        </w:rPr>
        <w:t>As it can be seen from the above figure, there is no misalignment for the expected MAC CE action time at the UE</w:t>
      </w:r>
      <w:r>
        <w:rPr>
          <w:sz w:val="22"/>
          <w:szCs w:val="22"/>
        </w:rPr>
        <w:t xml:space="preserve"> and at the gNB</w:t>
      </w:r>
      <w:r w:rsidRPr="00041F14">
        <w:rPr>
          <w:sz w:val="22"/>
          <w:szCs w:val="22"/>
        </w:rPr>
        <w:t xml:space="preserve"> without any additional slot offset </w:t>
      </w:r>
      <w:r w:rsidRPr="00213DF7">
        <w:rPr>
          <w:sz w:val="22"/>
          <w:szCs w:val="22"/>
        </w:rPr>
        <w:t>Koffset</w:t>
      </w:r>
      <w:r w:rsidRPr="00041F14">
        <w:rPr>
          <w:sz w:val="22"/>
          <w:szCs w:val="22"/>
        </w:rPr>
        <w:t>. Thus, slot offset</w:t>
      </w:r>
      <w:r w:rsidR="001B1F12">
        <w:rPr>
          <w:sz w:val="22"/>
          <w:szCs w:val="22"/>
        </w:rPr>
        <w:t xml:space="preserve"> between HARQ-ACK for MAC CE and corresponding DL action equal to 3 subframes can be supported without enhancements for the considered case with clarification that slot offset is counted from target slot of HARQ-ACK transmission (without TA).</w:t>
      </w:r>
    </w:p>
    <w:p w14:paraId="4802A622" w14:textId="54B22CFF" w:rsidR="00722C62" w:rsidRDefault="00722C62" w:rsidP="00041F14">
      <w:pPr>
        <w:spacing w:before="240"/>
        <w:jc w:val="both"/>
        <w:rPr>
          <w:sz w:val="22"/>
          <w:szCs w:val="22"/>
        </w:rPr>
      </w:pPr>
      <w:r>
        <w:rPr>
          <w:sz w:val="22"/>
          <w:szCs w:val="22"/>
        </w:rPr>
        <w:t xml:space="preserve">For the case </w:t>
      </w:r>
      <w:r w:rsidR="00952309">
        <w:rPr>
          <w:sz w:val="22"/>
          <w:szCs w:val="22"/>
        </w:rPr>
        <w:t>where TA corresponds to service link delay</w:t>
      </w:r>
      <w:r w:rsidR="0062395D">
        <w:rPr>
          <w:sz w:val="22"/>
          <w:szCs w:val="22"/>
        </w:rPr>
        <w:t xml:space="preserve"> only</w:t>
      </w:r>
      <w:r w:rsidR="00952309">
        <w:rPr>
          <w:sz w:val="22"/>
          <w:szCs w:val="22"/>
        </w:rPr>
        <w:t xml:space="preserve"> and feeder link </w:t>
      </w:r>
      <w:r w:rsidR="0062395D">
        <w:rPr>
          <w:sz w:val="22"/>
          <w:szCs w:val="22"/>
        </w:rPr>
        <w:t xml:space="preserve">delay </w:t>
      </w:r>
      <w:r w:rsidR="00952309">
        <w:rPr>
          <w:sz w:val="22"/>
          <w:szCs w:val="22"/>
        </w:rPr>
        <w:t xml:space="preserve">is not included in the TA the timing diagram for MAC CE DL action </w:t>
      </w:r>
      <w:r w:rsidR="007125C4">
        <w:rPr>
          <w:sz w:val="22"/>
          <w:szCs w:val="22"/>
        </w:rPr>
        <w:t>is</w:t>
      </w:r>
      <w:r w:rsidR="00952309">
        <w:rPr>
          <w:sz w:val="22"/>
          <w:szCs w:val="22"/>
        </w:rPr>
        <w:t xml:space="preserve"> schematically represented </w:t>
      </w:r>
      <w:r w:rsidR="008F082F">
        <w:rPr>
          <w:sz w:val="22"/>
          <w:szCs w:val="22"/>
        </w:rPr>
        <w:t>in figure 2</w:t>
      </w:r>
      <w:r w:rsidR="00952309">
        <w:rPr>
          <w:sz w:val="22"/>
          <w:szCs w:val="22"/>
        </w:rPr>
        <w:t xml:space="preserve">. </w:t>
      </w:r>
      <w:r w:rsidR="00160A99">
        <w:rPr>
          <w:sz w:val="22"/>
          <w:szCs w:val="22"/>
          <w:lang w:val="en-US"/>
        </w:rPr>
        <w:t>Due to feeder link delay additional slot offset should be added</w:t>
      </w:r>
      <w:r w:rsidR="008816C6" w:rsidRPr="008816C6">
        <w:rPr>
          <w:sz w:val="22"/>
          <w:szCs w:val="22"/>
          <w:lang w:val="en-US"/>
        </w:rPr>
        <w:t xml:space="preserve"> </w:t>
      </w:r>
      <w:r w:rsidR="008816C6">
        <w:rPr>
          <w:sz w:val="22"/>
          <w:szCs w:val="22"/>
          <w:lang w:val="en-US"/>
        </w:rPr>
        <w:t xml:space="preserve">at the gNB for HARQ-ACK reception timing and the same delay should be compensated for DL action. </w:t>
      </w:r>
      <w:r w:rsidR="005D24E1">
        <w:rPr>
          <w:sz w:val="22"/>
          <w:szCs w:val="22"/>
          <w:lang w:val="en-US"/>
        </w:rPr>
        <w:t xml:space="preserve">The value of the additional slot offset is equal to feeder link round trip delay. </w:t>
      </w:r>
      <w:r w:rsidR="008816C6">
        <w:rPr>
          <w:sz w:val="22"/>
          <w:szCs w:val="22"/>
          <w:lang w:val="en-US"/>
        </w:rPr>
        <w:t>This additional delay applied by</w:t>
      </w:r>
      <w:r w:rsidR="005D24E1">
        <w:rPr>
          <w:sz w:val="22"/>
          <w:szCs w:val="22"/>
          <w:lang w:val="en-US"/>
        </w:rPr>
        <w:t xml:space="preserve"> the gNB is transparent to the UE.</w:t>
      </w:r>
      <w:r w:rsidR="00160A99">
        <w:rPr>
          <w:sz w:val="22"/>
          <w:szCs w:val="22"/>
        </w:rPr>
        <w:t xml:space="preserve"> </w:t>
      </w:r>
      <w:r w:rsidR="001B52D1">
        <w:rPr>
          <w:sz w:val="22"/>
          <w:szCs w:val="22"/>
        </w:rPr>
        <w:t>However, additional slot offset for MAC CE DL action from the corresponding HARQ-ACK should be added at the UE side in order to avoid the case where gNB should apply DL action before it receives HARQ-ACK for the corresponding MAC CE.</w:t>
      </w:r>
      <w:r w:rsidR="00515E62">
        <w:rPr>
          <w:sz w:val="22"/>
          <w:szCs w:val="22"/>
        </w:rPr>
        <w:t xml:space="preserve"> Since the additional slot offset is not related to service link delay it may be not equal to the agreed Koffset and should be separately configured. </w:t>
      </w:r>
    </w:p>
    <w:p w14:paraId="69490C0C" w14:textId="2FBB37E7" w:rsidR="006A5D42" w:rsidRDefault="006A5D42" w:rsidP="00041F14">
      <w:pPr>
        <w:spacing w:before="240"/>
        <w:jc w:val="both"/>
        <w:rPr>
          <w:sz w:val="22"/>
          <w:szCs w:val="22"/>
        </w:rPr>
      </w:pPr>
      <w:r w:rsidRPr="00B26680">
        <w:rPr>
          <w:b/>
          <w:bCs/>
          <w:sz w:val="22"/>
          <w:szCs w:val="22"/>
        </w:rPr>
        <w:t>Proposal 1</w:t>
      </w:r>
      <w:r>
        <w:rPr>
          <w:sz w:val="22"/>
          <w:szCs w:val="22"/>
        </w:rPr>
        <w:t xml:space="preserve">: </w:t>
      </w:r>
    </w:p>
    <w:p w14:paraId="2458FFEF" w14:textId="4A1A6EA5" w:rsidR="006A5D42" w:rsidRPr="00B26680" w:rsidRDefault="00B26680" w:rsidP="00B26680">
      <w:pPr>
        <w:pStyle w:val="ListParagraph"/>
        <w:numPr>
          <w:ilvl w:val="0"/>
          <w:numId w:val="33"/>
        </w:numPr>
        <w:spacing w:before="240"/>
        <w:jc w:val="both"/>
        <w:rPr>
          <w:rFonts w:ascii="Times New Roman" w:hAnsi="Times New Roman"/>
          <w:i/>
          <w:iCs/>
        </w:rPr>
      </w:pPr>
      <w:r w:rsidRPr="00B26680">
        <w:rPr>
          <w:rFonts w:ascii="Times New Roman" w:hAnsi="Times New Roman"/>
          <w:i/>
          <w:iCs/>
        </w:rPr>
        <w:t>If TA corresponds to UE-gNB round trip delay</w:t>
      </w:r>
    </w:p>
    <w:p w14:paraId="43F408D6" w14:textId="77777777" w:rsidR="00B26680" w:rsidRPr="001E78CD" w:rsidRDefault="00B26680" w:rsidP="00B26680">
      <w:pPr>
        <w:pStyle w:val="ListParagraph"/>
        <w:numPr>
          <w:ilvl w:val="1"/>
          <w:numId w:val="33"/>
        </w:numPr>
        <w:spacing w:before="240"/>
        <w:jc w:val="both"/>
        <w:rPr>
          <w:rFonts w:ascii="Times New Roman" w:hAnsi="Times New Roman"/>
          <w:i/>
          <w:iCs/>
        </w:rPr>
      </w:pPr>
      <w:r w:rsidRPr="00010897">
        <w:rPr>
          <w:rFonts w:ascii="Times New Roman" w:eastAsia="Times New Roman" w:hAnsi="Times New Roman"/>
          <w:i/>
          <w:iCs/>
        </w:rPr>
        <w:t xml:space="preserve">For the MAC CE </w:t>
      </w:r>
      <w:r>
        <w:rPr>
          <w:rFonts w:ascii="Times New Roman" w:eastAsia="Times New Roman" w:hAnsi="Times New Roman"/>
          <w:i/>
          <w:iCs/>
        </w:rPr>
        <w:t>action</w:t>
      </w:r>
      <w:r w:rsidRPr="00010897">
        <w:rPr>
          <w:rFonts w:ascii="Times New Roman" w:eastAsia="Times New Roman" w:hAnsi="Times New Roman"/>
          <w:i/>
          <w:iCs/>
        </w:rPr>
        <w:t xml:space="preserve"> timing, the corresponding action and the UE assumption on the downlink configuration indicated by the MAC-CE command shall be applied starting from the first slot that is after slot </w:t>
      </w:r>
      <m:oMath>
        <m:r>
          <w:rPr>
            <w:rFonts w:ascii="Cambria Math" w:hAnsi="Cambria Math"/>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ascii="Times New Roman" w:eastAsia="Times New Roman" w:hAnsi="Times New Roman"/>
          <w:i/>
          <w:iCs/>
        </w:rPr>
        <w:t>, where n is target slot for the HARQ-ACK transmission (without TA)</w:t>
      </w:r>
    </w:p>
    <w:p w14:paraId="73139C96" w14:textId="7D1BD1D3" w:rsidR="00B26680" w:rsidRDefault="00A16FAE" w:rsidP="00A16FAE">
      <w:pPr>
        <w:pStyle w:val="ListParagraph"/>
        <w:numPr>
          <w:ilvl w:val="0"/>
          <w:numId w:val="33"/>
        </w:numPr>
        <w:spacing w:before="240"/>
        <w:jc w:val="both"/>
        <w:rPr>
          <w:rFonts w:ascii="Times New Roman" w:hAnsi="Times New Roman"/>
          <w:i/>
          <w:iCs/>
        </w:rPr>
      </w:pPr>
      <w:r w:rsidRPr="00B26680">
        <w:rPr>
          <w:rFonts w:ascii="Times New Roman" w:hAnsi="Times New Roman"/>
          <w:i/>
          <w:iCs/>
        </w:rPr>
        <w:t xml:space="preserve">If TA corresponds to </w:t>
      </w:r>
      <w:r>
        <w:rPr>
          <w:rFonts w:ascii="Times New Roman" w:hAnsi="Times New Roman"/>
          <w:i/>
          <w:iCs/>
        </w:rPr>
        <w:t>service link</w:t>
      </w:r>
      <w:r w:rsidRPr="00B26680">
        <w:rPr>
          <w:rFonts w:ascii="Times New Roman" w:hAnsi="Times New Roman"/>
          <w:i/>
          <w:iCs/>
        </w:rPr>
        <w:t xml:space="preserve"> round trip delay</w:t>
      </w:r>
      <w:r>
        <w:rPr>
          <w:rFonts w:ascii="Times New Roman" w:hAnsi="Times New Roman"/>
          <w:i/>
          <w:iCs/>
        </w:rPr>
        <w:t xml:space="preserve"> (feeder link delay</w:t>
      </w:r>
      <w:r w:rsidR="007F71FC">
        <w:rPr>
          <w:rFonts w:ascii="Times New Roman" w:hAnsi="Times New Roman"/>
          <w:i/>
          <w:iCs/>
        </w:rPr>
        <w:t xml:space="preserve"> is not considered for TA</w:t>
      </w:r>
      <w:r>
        <w:rPr>
          <w:rFonts w:ascii="Times New Roman" w:hAnsi="Times New Roman"/>
          <w:i/>
          <w:iCs/>
        </w:rPr>
        <w:t>)</w:t>
      </w:r>
    </w:p>
    <w:p w14:paraId="30F5B940" w14:textId="6E4721C5" w:rsidR="00A16FAE" w:rsidRPr="00A16FAE" w:rsidRDefault="00A16FAE" w:rsidP="00C925DE">
      <w:pPr>
        <w:pStyle w:val="ListParagraph"/>
        <w:numPr>
          <w:ilvl w:val="1"/>
          <w:numId w:val="33"/>
        </w:numPr>
        <w:spacing w:before="240" w:after="240"/>
        <w:jc w:val="both"/>
        <w:rPr>
          <w:rFonts w:ascii="Times New Roman" w:hAnsi="Times New Roman"/>
          <w:i/>
          <w:iCs/>
        </w:rPr>
      </w:pPr>
      <w:r w:rsidRPr="00010897">
        <w:rPr>
          <w:rFonts w:ascii="Times New Roman" w:eastAsia="Times New Roman" w:hAnsi="Times New Roman"/>
          <w:i/>
          <w:iCs/>
        </w:rPr>
        <w:lastRenderedPageBreak/>
        <w:t xml:space="preserve">For the MAC CE </w:t>
      </w:r>
      <w:r>
        <w:rPr>
          <w:rFonts w:ascii="Times New Roman" w:eastAsia="Times New Roman" w:hAnsi="Times New Roman"/>
          <w:i/>
          <w:iCs/>
        </w:rPr>
        <w:t>action</w:t>
      </w:r>
      <w:r w:rsidRPr="00010897">
        <w:rPr>
          <w:rFonts w:ascii="Times New Roman" w:eastAsia="Times New Roman" w:hAnsi="Times New Roman"/>
          <w:i/>
          <w:iCs/>
        </w:rPr>
        <w:t xml:space="preserve"> timing, the corresponding action and the UE assumption on the downlink configuration indicated by the MAC-CE command shall be applied starting from the first slot that is after slot </w:t>
      </w:r>
      <m:oMath>
        <m:r>
          <w:rPr>
            <w:rFonts w:ascii="Cambria Math" w:hAnsi="Cambria Math"/>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 CE</m:t>
            </m:r>
          </m:sub>
        </m:sSub>
      </m:oMath>
      <w:r>
        <w:rPr>
          <w:rFonts w:ascii="Times New Roman" w:eastAsia="Times New Roman" w:hAnsi="Times New Roman"/>
          <w:i/>
          <w:iCs/>
        </w:rPr>
        <w:t xml:space="preserve">, where n is target slot for the HARQ-ACK transmission (without TA), </w:t>
      </w:r>
      <m:oMath>
        <m:sSub>
          <m:sSubPr>
            <m:ctrlPr>
              <w:rPr>
                <w:rFonts w:ascii="Cambria Math" w:hAnsi="Cambria Math"/>
                <w:i/>
                <w:iCs/>
              </w:rPr>
            </m:ctrlPr>
          </m:sSubPr>
          <m:e>
            <m:r>
              <w:rPr>
                <w:rFonts w:ascii="Cambria Math" w:hAnsi="Cambria Math"/>
              </w:rPr>
              <m:t>K</m:t>
            </m:r>
          </m:e>
          <m:sub>
            <m:r>
              <w:rPr>
                <w:rFonts w:ascii="Cambria Math" w:hAnsi="Cambria Math"/>
              </w:rPr>
              <m:t>MAC CE</m:t>
            </m:r>
          </m:sub>
        </m:sSub>
      </m:oMath>
      <w:r>
        <w:rPr>
          <w:rFonts w:ascii="Times New Roman" w:eastAsia="Times New Roman" w:hAnsi="Times New Roman"/>
          <w:i/>
          <w:iCs/>
        </w:rPr>
        <w:t xml:space="preserve"> is configured by higher layers</w:t>
      </w:r>
    </w:p>
    <w:p w14:paraId="5273496F" w14:textId="3D944466" w:rsidR="000E68A5" w:rsidRDefault="00C43E20" w:rsidP="00C43E20">
      <w:pPr>
        <w:spacing w:before="240"/>
        <w:jc w:val="center"/>
      </w:pPr>
      <w:r>
        <w:object w:dxaOrig="8065" w:dyaOrig="5713" w14:anchorId="146E4DF2">
          <v:shape id="_x0000_i1026" type="#_x0000_t75" style="width:403.1pt;height:285.8pt" o:ole="">
            <v:imagedata r:id="rId13" o:title=""/>
          </v:shape>
          <o:OLEObject Type="Embed" ProgID="Visio.Drawing.15" ShapeID="_x0000_i1026" DrawAspect="Content" ObjectID="_1665032772" r:id="rId14"/>
        </w:object>
      </w:r>
    </w:p>
    <w:p w14:paraId="2A39A196" w14:textId="096E1CBB" w:rsidR="0096369E" w:rsidRPr="00041F14" w:rsidRDefault="0096369E" w:rsidP="0096369E">
      <w:pPr>
        <w:spacing w:before="240"/>
        <w:jc w:val="center"/>
        <w:rPr>
          <w:sz w:val="24"/>
          <w:szCs w:val="24"/>
        </w:rPr>
      </w:pPr>
      <w:r w:rsidRPr="00041F14">
        <w:rPr>
          <w:b/>
          <w:bCs/>
          <w:sz w:val="22"/>
          <w:szCs w:val="22"/>
        </w:rPr>
        <w:t xml:space="preserve">Figure </w:t>
      </w:r>
      <w:r w:rsidR="00933C5F">
        <w:rPr>
          <w:b/>
          <w:bCs/>
          <w:sz w:val="22"/>
          <w:szCs w:val="22"/>
        </w:rPr>
        <w:t>2</w:t>
      </w:r>
      <w:r w:rsidRPr="00041F14">
        <w:rPr>
          <w:sz w:val="22"/>
          <w:szCs w:val="22"/>
        </w:rPr>
        <w:t>. Timing diagram for MAC CE action for DL transmission</w:t>
      </w:r>
      <w:r>
        <w:rPr>
          <w:sz w:val="22"/>
          <w:szCs w:val="22"/>
        </w:rPr>
        <w:t xml:space="preserve"> if TA corresponds to </w:t>
      </w:r>
      <w:r w:rsidR="00933C5F">
        <w:rPr>
          <w:sz w:val="22"/>
          <w:szCs w:val="22"/>
        </w:rPr>
        <w:t>service link</w:t>
      </w:r>
      <w:r>
        <w:rPr>
          <w:sz w:val="22"/>
          <w:szCs w:val="22"/>
        </w:rPr>
        <w:t xml:space="preserve"> round trip delay</w:t>
      </w:r>
    </w:p>
    <w:p w14:paraId="7C10C3EF" w14:textId="3F5AB054" w:rsidR="0096369E" w:rsidRDefault="00337840" w:rsidP="00337840">
      <w:pPr>
        <w:spacing w:before="240"/>
        <w:jc w:val="both"/>
        <w:rPr>
          <w:sz w:val="22"/>
          <w:szCs w:val="22"/>
        </w:rPr>
      </w:pPr>
      <w:r>
        <w:rPr>
          <w:sz w:val="22"/>
          <w:szCs w:val="22"/>
        </w:rPr>
        <w:t>One more agreement on the details related to common slot offset configuration was made at the last RAN1 meeting.</w:t>
      </w:r>
      <w:r w:rsidR="00C13821">
        <w:rPr>
          <w:sz w:val="22"/>
          <w:szCs w:val="22"/>
        </w:rPr>
        <w:t xml:space="preserve"> </w:t>
      </w:r>
    </w:p>
    <w:tbl>
      <w:tblPr>
        <w:tblStyle w:val="TableGrid"/>
        <w:tblW w:w="0" w:type="auto"/>
        <w:tblLook w:val="04A0" w:firstRow="1" w:lastRow="0" w:firstColumn="1" w:lastColumn="0" w:noHBand="0" w:noVBand="1"/>
      </w:tblPr>
      <w:tblGrid>
        <w:gridCol w:w="10160"/>
      </w:tblGrid>
      <w:tr w:rsidR="00901685" w14:paraId="26DF5005" w14:textId="77777777" w:rsidTr="00901685">
        <w:tc>
          <w:tcPr>
            <w:tcW w:w="10160" w:type="dxa"/>
          </w:tcPr>
          <w:p w14:paraId="7BC8E682" w14:textId="77777777" w:rsidR="00901685" w:rsidRPr="00901685" w:rsidRDefault="00901685" w:rsidP="00901685">
            <w:pPr>
              <w:overflowPunct/>
              <w:autoSpaceDE/>
              <w:autoSpaceDN/>
              <w:adjustRightInd/>
              <w:spacing w:before="0" w:after="0"/>
              <w:textAlignment w:val="auto"/>
              <w:rPr>
                <w:rFonts w:ascii="Calibri" w:hAnsi="Calibri" w:cs="Calibri"/>
                <w:szCs w:val="22"/>
                <w:lang w:val="en-US" w:eastAsia="x-none"/>
              </w:rPr>
            </w:pPr>
            <w:bookmarkStart w:id="1" w:name="_Hlk49428996"/>
            <w:r w:rsidRPr="00901685">
              <w:rPr>
                <w:rFonts w:ascii="Calibri" w:hAnsi="Calibri" w:cs="Calibri"/>
                <w:szCs w:val="22"/>
                <w:highlight w:val="green"/>
                <w:lang w:val="en-US" w:eastAsia="x-none"/>
              </w:rPr>
              <w:t>Agreement:</w:t>
            </w:r>
          </w:p>
          <w:p w14:paraId="653FF4D2" w14:textId="77777777" w:rsidR="00901685" w:rsidRPr="00901685" w:rsidRDefault="00901685" w:rsidP="00901685">
            <w:pPr>
              <w:overflowPunct/>
              <w:autoSpaceDE/>
              <w:autoSpaceDN/>
              <w:adjustRightInd/>
              <w:spacing w:before="0" w:after="0"/>
              <w:textAlignment w:val="auto"/>
              <w:rPr>
                <w:rFonts w:ascii="Calibri" w:hAnsi="Calibri" w:cs="Calibri"/>
                <w:szCs w:val="22"/>
                <w:lang w:val="en-US" w:eastAsia="x-none"/>
              </w:rPr>
            </w:pPr>
            <w:r w:rsidRPr="00901685">
              <w:rPr>
                <w:rFonts w:ascii="Calibri" w:hAnsi="Calibri" w:cs="Calibri"/>
                <w:szCs w:val="22"/>
                <w:lang w:val="en-US" w:eastAsia="x-none"/>
              </w:rPr>
              <w:t xml:space="preserve">For Koffset used in initial access, the information of Koffset is carried in system information. </w:t>
            </w:r>
          </w:p>
          <w:p w14:paraId="61A01632" w14:textId="77777777" w:rsidR="00901685" w:rsidRPr="00901685" w:rsidRDefault="00901685" w:rsidP="00901685">
            <w:pPr>
              <w:numPr>
                <w:ilvl w:val="0"/>
                <w:numId w:val="34"/>
              </w:numPr>
              <w:overflowPunct/>
              <w:autoSpaceDE/>
              <w:autoSpaceDN/>
              <w:adjustRightInd/>
              <w:spacing w:before="0" w:after="0"/>
              <w:textAlignment w:val="auto"/>
              <w:rPr>
                <w:rFonts w:ascii="Calibri" w:hAnsi="Calibri" w:cs="Calibri"/>
                <w:szCs w:val="22"/>
                <w:lang w:val="en-US" w:eastAsia="x-none"/>
              </w:rPr>
            </w:pPr>
            <w:r w:rsidRPr="00901685">
              <w:rPr>
                <w:rFonts w:ascii="Calibri" w:hAnsi="Calibri" w:cs="Calibri"/>
                <w:szCs w:val="22"/>
                <w:lang w:val="en-US" w:eastAsia="x-none"/>
              </w:rPr>
              <w:t>FFS implicit and/or explicit signaling of Koffset in system information.</w:t>
            </w:r>
          </w:p>
          <w:p w14:paraId="55806A4F" w14:textId="77777777" w:rsidR="00901685" w:rsidRPr="00901685" w:rsidRDefault="00901685" w:rsidP="00901685">
            <w:pPr>
              <w:numPr>
                <w:ilvl w:val="0"/>
                <w:numId w:val="34"/>
              </w:numPr>
              <w:overflowPunct/>
              <w:autoSpaceDE/>
              <w:autoSpaceDN/>
              <w:adjustRightInd/>
              <w:spacing w:before="0" w:after="0"/>
              <w:textAlignment w:val="auto"/>
              <w:rPr>
                <w:rFonts w:ascii="Calibri" w:hAnsi="Calibri" w:cs="Calibri"/>
                <w:szCs w:val="22"/>
                <w:lang w:val="en-US" w:eastAsia="x-none"/>
              </w:rPr>
            </w:pPr>
            <w:r w:rsidRPr="00901685">
              <w:rPr>
                <w:rFonts w:ascii="Calibri" w:hAnsi="Calibri" w:cs="Calibri"/>
                <w:szCs w:val="22"/>
                <w:lang w:val="en-US" w:eastAsia="x-none"/>
              </w:rPr>
              <w:t>FFS a cell specific Koffset value used in all beams of a cell and/or each beam in a cell uses a beam-specific Koffset value.</w:t>
            </w:r>
          </w:p>
          <w:p w14:paraId="179AC0B3" w14:textId="25AE5C62" w:rsidR="00901685" w:rsidRPr="00901685" w:rsidRDefault="00901685" w:rsidP="00901685">
            <w:pPr>
              <w:numPr>
                <w:ilvl w:val="0"/>
                <w:numId w:val="34"/>
              </w:numPr>
              <w:overflowPunct/>
              <w:autoSpaceDE/>
              <w:autoSpaceDN/>
              <w:adjustRightInd/>
              <w:spacing w:before="0"/>
              <w:textAlignment w:val="auto"/>
              <w:rPr>
                <w:rFonts w:ascii="Calibri" w:hAnsi="Calibri" w:cs="Calibri"/>
                <w:szCs w:val="22"/>
                <w:lang w:val="en-US" w:eastAsia="x-none"/>
              </w:rPr>
            </w:pPr>
            <w:r w:rsidRPr="00901685">
              <w:rPr>
                <w:rFonts w:ascii="Calibri" w:hAnsi="Calibri" w:cs="Calibri"/>
                <w:szCs w:val="22"/>
                <w:lang w:val="en-US" w:eastAsia="x-none"/>
              </w:rPr>
              <w:t>FFS whether/how to update Koffset after initial access.</w:t>
            </w:r>
            <w:bookmarkEnd w:id="1"/>
          </w:p>
        </w:tc>
      </w:tr>
    </w:tbl>
    <w:p w14:paraId="132DE1A8" w14:textId="697E4B19" w:rsidR="00605613" w:rsidRDefault="009572CD" w:rsidP="00CB1430">
      <w:pPr>
        <w:spacing w:before="240"/>
        <w:jc w:val="both"/>
        <w:rPr>
          <w:sz w:val="22"/>
          <w:szCs w:val="22"/>
        </w:rPr>
      </w:pPr>
      <w:r>
        <w:rPr>
          <w:sz w:val="22"/>
          <w:szCs w:val="22"/>
        </w:rPr>
        <w:t>C</w:t>
      </w:r>
      <w:r w:rsidR="00792047">
        <w:rPr>
          <w:sz w:val="22"/>
          <w:szCs w:val="22"/>
        </w:rPr>
        <w:t xml:space="preserve">ommon slot offset Koffset is correlated with the common (or maximum) propagation delay corresponding to the serving area on earth. Some other parameters broadcasted by the gNB may be also correlated with the common propagation delay. In this case, in order to avoid redundant signalling, Koffset may be implicitly determined from other parameter(s) which reflects common propagation delay. </w:t>
      </w:r>
      <w:r w:rsidR="00B433E3">
        <w:rPr>
          <w:sz w:val="22"/>
          <w:szCs w:val="22"/>
        </w:rPr>
        <w:t>For example, if indication of common TA is supported, Koffset may be implicitly derived from that parameter.</w:t>
      </w:r>
    </w:p>
    <w:p w14:paraId="7DEDC93E" w14:textId="2841EC68" w:rsidR="00CB1430" w:rsidRDefault="00CB1430" w:rsidP="00CB1430">
      <w:pPr>
        <w:spacing w:before="240"/>
        <w:jc w:val="both"/>
        <w:rPr>
          <w:sz w:val="22"/>
          <w:szCs w:val="22"/>
        </w:rPr>
      </w:pPr>
      <w:r w:rsidRPr="00CB1430">
        <w:rPr>
          <w:sz w:val="22"/>
          <w:szCs w:val="22"/>
        </w:rPr>
        <w:t>Since the maximum round trip delay i</w:t>
      </w:r>
      <w:r w:rsidR="00605613">
        <w:rPr>
          <w:sz w:val="22"/>
          <w:szCs w:val="22"/>
        </w:rPr>
        <w:t>s</w:t>
      </w:r>
      <w:r w:rsidRPr="00CB1430">
        <w:rPr>
          <w:sz w:val="22"/>
          <w:szCs w:val="22"/>
        </w:rPr>
        <w:t xml:space="preserve"> different for different beams Koffset value should be broadcasted by the gNB per beam.</w:t>
      </w:r>
      <w:r>
        <w:rPr>
          <w:sz w:val="22"/>
          <w:szCs w:val="22"/>
        </w:rPr>
        <w:t xml:space="preserve"> Also, it is not clear whether common slot offset needs to be different for different physical layer procedures where Koffset is applicable since it corresponds to the </w:t>
      </w:r>
      <w:r w:rsidR="00272FEC">
        <w:rPr>
          <w:sz w:val="22"/>
          <w:szCs w:val="22"/>
        </w:rPr>
        <w:t>round-trip</w:t>
      </w:r>
      <w:r>
        <w:rPr>
          <w:sz w:val="22"/>
          <w:szCs w:val="22"/>
        </w:rPr>
        <w:t xml:space="preserve"> delay </w:t>
      </w:r>
      <w:r w:rsidR="008E7D5A">
        <w:rPr>
          <w:sz w:val="22"/>
          <w:szCs w:val="22"/>
        </w:rPr>
        <w:t>which is same for all the considered cases</w:t>
      </w:r>
      <w:bookmarkStart w:id="2" w:name="_GoBack"/>
      <w:bookmarkEnd w:id="2"/>
      <w:r>
        <w:rPr>
          <w:sz w:val="22"/>
          <w:szCs w:val="22"/>
        </w:rPr>
        <w:t xml:space="preserve">. </w:t>
      </w:r>
    </w:p>
    <w:p w14:paraId="15C3F34D" w14:textId="77777777" w:rsidR="00CB1430" w:rsidRDefault="00CB1430" w:rsidP="00CB1430">
      <w:pPr>
        <w:spacing w:before="240"/>
        <w:jc w:val="both"/>
        <w:rPr>
          <w:sz w:val="22"/>
          <w:szCs w:val="22"/>
        </w:rPr>
      </w:pPr>
      <w:r w:rsidRPr="00272FEC">
        <w:rPr>
          <w:b/>
          <w:bCs/>
          <w:i/>
          <w:iCs/>
          <w:sz w:val="22"/>
          <w:szCs w:val="22"/>
        </w:rPr>
        <w:lastRenderedPageBreak/>
        <w:t>Proposal 2</w:t>
      </w:r>
      <w:r>
        <w:rPr>
          <w:sz w:val="22"/>
          <w:szCs w:val="22"/>
        </w:rPr>
        <w:t xml:space="preserve">: </w:t>
      </w:r>
    </w:p>
    <w:p w14:paraId="2BB9DB0E" w14:textId="1A8C2EAF" w:rsidR="00792047" w:rsidRPr="00272FEC" w:rsidRDefault="00CB1430" w:rsidP="00CB1430">
      <w:pPr>
        <w:pStyle w:val="ListParagraph"/>
        <w:numPr>
          <w:ilvl w:val="0"/>
          <w:numId w:val="35"/>
        </w:numPr>
        <w:spacing w:before="240"/>
        <w:jc w:val="both"/>
        <w:rPr>
          <w:rFonts w:ascii="Times New Roman" w:hAnsi="Times New Roman"/>
          <w:i/>
          <w:iCs/>
        </w:rPr>
      </w:pPr>
      <w:r w:rsidRPr="00272FEC">
        <w:rPr>
          <w:rFonts w:ascii="Times New Roman" w:hAnsi="Times New Roman"/>
          <w:i/>
          <w:iCs/>
        </w:rPr>
        <w:t>Common timing advance (TA) value can be used to determine common slot offset (Koffset) if common TA indication is supported</w:t>
      </w:r>
    </w:p>
    <w:p w14:paraId="0EE7A30E" w14:textId="3D4D6BAF" w:rsidR="00272FEC" w:rsidRPr="00272FEC" w:rsidRDefault="00843950" w:rsidP="00CB1430">
      <w:pPr>
        <w:pStyle w:val="ListParagraph"/>
        <w:numPr>
          <w:ilvl w:val="0"/>
          <w:numId w:val="35"/>
        </w:numPr>
        <w:spacing w:before="240"/>
        <w:jc w:val="both"/>
        <w:rPr>
          <w:rFonts w:ascii="Times New Roman" w:hAnsi="Times New Roman"/>
          <w:i/>
          <w:iCs/>
        </w:rPr>
      </w:pPr>
      <w:r>
        <w:rPr>
          <w:rFonts w:ascii="Times New Roman" w:hAnsi="Times New Roman"/>
          <w:i/>
          <w:iCs/>
        </w:rPr>
        <w:t>B</w:t>
      </w:r>
      <w:r w:rsidR="00272FEC" w:rsidRPr="00272FEC">
        <w:rPr>
          <w:rFonts w:ascii="Times New Roman" w:hAnsi="Times New Roman"/>
          <w:i/>
          <w:iCs/>
        </w:rPr>
        <w:t>eam-specific</w:t>
      </w:r>
      <w:r>
        <w:rPr>
          <w:rFonts w:ascii="Times New Roman" w:hAnsi="Times New Roman"/>
          <w:i/>
          <w:iCs/>
        </w:rPr>
        <w:t xml:space="preserve"> indication of</w:t>
      </w:r>
      <w:r w:rsidR="00272FEC" w:rsidRPr="00272FEC">
        <w:rPr>
          <w:rFonts w:ascii="Times New Roman" w:hAnsi="Times New Roman"/>
          <w:i/>
          <w:iCs/>
        </w:rPr>
        <w:t xml:space="preserve"> Koffset value</w:t>
      </w:r>
      <w:r>
        <w:rPr>
          <w:rFonts w:ascii="Times New Roman" w:hAnsi="Times New Roman"/>
          <w:i/>
          <w:iCs/>
        </w:rPr>
        <w:t xml:space="preserve"> should be supported</w:t>
      </w:r>
    </w:p>
    <w:p w14:paraId="67AEEF36" w14:textId="7C351DB7" w:rsidR="00CB1430" w:rsidRPr="00930DFC" w:rsidRDefault="00CB1430" w:rsidP="00CB1430">
      <w:pPr>
        <w:pStyle w:val="ListParagraph"/>
        <w:numPr>
          <w:ilvl w:val="0"/>
          <w:numId w:val="35"/>
        </w:numPr>
        <w:spacing w:before="240"/>
        <w:jc w:val="both"/>
        <w:rPr>
          <w:rFonts w:ascii="Times New Roman" w:hAnsi="Times New Roman"/>
          <w:i/>
          <w:iCs/>
        </w:rPr>
      </w:pPr>
      <w:r w:rsidRPr="00272FEC">
        <w:rPr>
          <w:rFonts w:ascii="Times New Roman" w:hAnsi="Times New Roman"/>
          <w:i/>
          <w:iCs/>
        </w:rPr>
        <w:t>Koffset value should be common for all applicable physical layer procedures</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33C5E42" w14:textId="5245CD2F" w:rsidR="00E40CA1" w:rsidRDefault="00E17F6E" w:rsidP="00552B68">
      <w:pPr>
        <w:jc w:val="both"/>
        <w:rPr>
          <w:sz w:val="22"/>
          <w:szCs w:val="22"/>
        </w:rPr>
      </w:pPr>
      <w:r w:rsidRPr="000B4ADF">
        <w:rPr>
          <w:sz w:val="22"/>
          <w:szCs w:val="22"/>
          <w:lang w:eastAsia="ko-KR"/>
        </w:rPr>
        <w:t xml:space="preserve">In this contribution aspects related to </w:t>
      </w:r>
      <w:r w:rsidR="00EC7F4A">
        <w:rPr>
          <w:sz w:val="22"/>
          <w:szCs w:val="22"/>
          <w:lang w:eastAsia="ko-KR"/>
        </w:rPr>
        <w:t>timing relationships for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55AF00F1" w14:textId="77777777" w:rsidR="006C1F57" w:rsidRDefault="006C1F57" w:rsidP="006C1F57">
      <w:pPr>
        <w:spacing w:before="240"/>
        <w:jc w:val="both"/>
        <w:rPr>
          <w:sz w:val="22"/>
          <w:szCs w:val="22"/>
        </w:rPr>
      </w:pPr>
      <w:r w:rsidRPr="00B26680">
        <w:rPr>
          <w:b/>
          <w:bCs/>
          <w:sz w:val="22"/>
          <w:szCs w:val="22"/>
        </w:rPr>
        <w:t>Proposal 1</w:t>
      </w:r>
      <w:r>
        <w:rPr>
          <w:sz w:val="22"/>
          <w:szCs w:val="22"/>
        </w:rPr>
        <w:t xml:space="preserve">: </w:t>
      </w:r>
    </w:p>
    <w:p w14:paraId="35C3EE53" w14:textId="77777777" w:rsidR="006C1F57" w:rsidRPr="00B26680" w:rsidRDefault="006C1F57" w:rsidP="006C1F57">
      <w:pPr>
        <w:pStyle w:val="ListParagraph"/>
        <w:numPr>
          <w:ilvl w:val="0"/>
          <w:numId w:val="33"/>
        </w:numPr>
        <w:spacing w:before="240"/>
        <w:jc w:val="both"/>
        <w:rPr>
          <w:rFonts w:ascii="Times New Roman" w:hAnsi="Times New Roman"/>
          <w:i/>
          <w:iCs/>
        </w:rPr>
      </w:pPr>
      <w:r w:rsidRPr="00B26680">
        <w:rPr>
          <w:rFonts w:ascii="Times New Roman" w:hAnsi="Times New Roman"/>
          <w:i/>
          <w:iCs/>
        </w:rPr>
        <w:t>If TA corresponds to UE-gNB round trip delay</w:t>
      </w:r>
    </w:p>
    <w:p w14:paraId="389AB8A6" w14:textId="77777777" w:rsidR="006C1F57" w:rsidRPr="001E78CD" w:rsidRDefault="006C1F57" w:rsidP="006C1F57">
      <w:pPr>
        <w:pStyle w:val="ListParagraph"/>
        <w:numPr>
          <w:ilvl w:val="1"/>
          <w:numId w:val="33"/>
        </w:numPr>
        <w:spacing w:before="240"/>
        <w:jc w:val="both"/>
        <w:rPr>
          <w:rFonts w:ascii="Times New Roman" w:hAnsi="Times New Roman"/>
          <w:i/>
          <w:iCs/>
        </w:rPr>
      </w:pPr>
      <w:r w:rsidRPr="00010897">
        <w:rPr>
          <w:rFonts w:ascii="Times New Roman" w:eastAsia="Times New Roman" w:hAnsi="Times New Roman"/>
          <w:i/>
          <w:iCs/>
        </w:rPr>
        <w:t xml:space="preserve">For the MAC CE </w:t>
      </w:r>
      <w:r>
        <w:rPr>
          <w:rFonts w:ascii="Times New Roman" w:eastAsia="Times New Roman" w:hAnsi="Times New Roman"/>
          <w:i/>
          <w:iCs/>
        </w:rPr>
        <w:t>action</w:t>
      </w:r>
      <w:r w:rsidRPr="00010897">
        <w:rPr>
          <w:rFonts w:ascii="Times New Roman" w:eastAsia="Times New Roman" w:hAnsi="Times New Roman"/>
          <w:i/>
          <w:iCs/>
        </w:rPr>
        <w:t xml:space="preserve"> timing, the corresponding action and the UE assumption on the downlink configuration indicated by the MAC-CE command shall be applied starting from the first slot that is after slot </w:t>
      </w:r>
      <m:oMath>
        <m:r>
          <w:rPr>
            <w:rFonts w:ascii="Cambria Math" w:hAnsi="Cambria Math"/>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ascii="Times New Roman" w:eastAsia="Times New Roman" w:hAnsi="Times New Roman"/>
          <w:i/>
          <w:iCs/>
        </w:rPr>
        <w:t>, where n is target slot for the HARQ-ACK transmission (without TA)</w:t>
      </w:r>
    </w:p>
    <w:p w14:paraId="22AA919F" w14:textId="77777777" w:rsidR="006C1F57" w:rsidRDefault="006C1F57" w:rsidP="006C1F57">
      <w:pPr>
        <w:pStyle w:val="ListParagraph"/>
        <w:numPr>
          <w:ilvl w:val="0"/>
          <w:numId w:val="33"/>
        </w:numPr>
        <w:spacing w:before="240"/>
        <w:jc w:val="both"/>
        <w:rPr>
          <w:rFonts w:ascii="Times New Roman" w:hAnsi="Times New Roman"/>
          <w:i/>
          <w:iCs/>
        </w:rPr>
      </w:pPr>
      <w:r w:rsidRPr="00B26680">
        <w:rPr>
          <w:rFonts w:ascii="Times New Roman" w:hAnsi="Times New Roman"/>
          <w:i/>
          <w:iCs/>
        </w:rPr>
        <w:t xml:space="preserve">If TA corresponds to </w:t>
      </w:r>
      <w:r>
        <w:rPr>
          <w:rFonts w:ascii="Times New Roman" w:hAnsi="Times New Roman"/>
          <w:i/>
          <w:iCs/>
        </w:rPr>
        <w:t>service link</w:t>
      </w:r>
      <w:r w:rsidRPr="00B26680">
        <w:rPr>
          <w:rFonts w:ascii="Times New Roman" w:hAnsi="Times New Roman"/>
          <w:i/>
          <w:iCs/>
        </w:rPr>
        <w:t xml:space="preserve"> round trip delay</w:t>
      </w:r>
      <w:r>
        <w:rPr>
          <w:rFonts w:ascii="Times New Roman" w:hAnsi="Times New Roman"/>
          <w:i/>
          <w:iCs/>
        </w:rPr>
        <w:t xml:space="preserve"> (feeder link delay is not considered for TA)</w:t>
      </w:r>
    </w:p>
    <w:p w14:paraId="04A14806" w14:textId="77777777" w:rsidR="006C1F57" w:rsidRPr="00A16FAE" w:rsidRDefault="006C1F57" w:rsidP="006C1F57">
      <w:pPr>
        <w:pStyle w:val="ListParagraph"/>
        <w:numPr>
          <w:ilvl w:val="1"/>
          <w:numId w:val="33"/>
        </w:numPr>
        <w:spacing w:before="240" w:after="240"/>
        <w:jc w:val="both"/>
        <w:rPr>
          <w:rFonts w:ascii="Times New Roman" w:hAnsi="Times New Roman"/>
          <w:i/>
          <w:iCs/>
        </w:rPr>
      </w:pPr>
      <w:r w:rsidRPr="00010897">
        <w:rPr>
          <w:rFonts w:ascii="Times New Roman" w:eastAsia="Times New Roman" w:hAnsi="Times New Roman"/>
          <w:i/>
          <w:iCs/>
        </w:rPr>
        <w:t xml:space="preserve">For the MAC CE </w:t>
      </w:r>
      <w:r>
        <w:rPr>
          <w:rFonts w:ascii="Times New Roman" w:eastAsia="Times New Roman" w:hAnsi="Times New Roman"/>
          <w:i/>
          <w:iCs/>
        </w:rPr>
        <w:t>action</w:t>
      </w:r>
      <w:r w:rsidRPr="00010897">
        <w:rPr>
          <w:rFonts w:ascii="Times New Roman" w:eastAsia="Times New Roman" w:hAnsi="Times New Roman"/>
          <w:i/>
          <w:iCs/>
        </w:rPr>
        <w:t xml:space="preserve"> timing, the corresponding action and the UE assumption on the downlink configuration indicated by the MAC-CE command shall be applied starting from the first slot that is after slot </w:t>
      </w:r>
      <m:oMath>
        <m:r>
          <w:rPr>
            <w:rFonts w:ascii="Cambria Math" w:hAnsi="Cambria Math"/>
          </w:rPr>
          <m:t>n+</m:t>
        </m:r>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 CE</m:t>
            </m:r>
          </m:sub>
        </m:sSub>
      </m:oMath>
      <w:r>
        <w:rPr>
          <w:rFonts w:ascii="Times New Roman" w:eastAsia="Times New Roman" w:hAnsi="Times New Roman"/>
          <w:i/>
          <w:iCs/>
        </w:rPr>
        <w:t xml:space="preserve">, where n is target slot for the HARQ-ACK transmission (without TA), </w:t>
      </w:r>
      <m:oMath>
        <m:sSub>
          <m:sSubPr>
            <m:ctrlPr>
              <w:rPr>
                <w:rFonts w:ascii="Cambria Math" w:hAnsi="Cambria Math"/>
                <w:i/>
                <w:iCs/>
              </w:rPr>
            </m:ctrlPr>
          </m:sSubPr>
          <m:e>
            <m:r>
              <w:rPr>
                <w:rFonts w:ascii="Cambria Math" w:hAnsi="Cambria Math"/>
              </w:rPr>
              <m:t>K</m:t>
            </m:r>
          </m:e>
          <m:sub>
            <m:r>
              <w:rPr>
                <w:rFonts w:ascii="Cambria Math" w:hAnsi="Cambria Math"/>
              </w:rPr>
              <m:t>MAC CE</m:t>
            </m:r>
          </m:sub>
        </m:sSub>
      </m:oMath>
      <w:r>
        <w:rPr>
          <w:rFonts w:ascii="Times New Roman" w:eastAsia="Times New Roman" w:hAnsi="Times New Roman"/>
          <w:i/>
          <w:iCs/>
        </w:rPr>
        <w:t xml:space="preserve"> is configured by higher layers</w:t>
      </w:r>
    </w:p>
    <w:p w14:paraId="4719DB21" w14:textId="77777777" w:rsidR="006C1F57" w:rsidRDefault="006C1F57" w:rsidP="006C1F57">
      <w:pPr>
        <w:spacing w:before="240"/>
        <w:jc w:val="both"/>
        <w:rPr>
          <w:sz w:val="22"/>
          <w:szCs w:val="22"/>
        </w:rPr>
      </w:pPr>
      <w:r w:rsidRPr="00272FEC">
        <w:rPr>
          <w:b/>
          <w:bCs/>
          <w:i/>
          <w:iCs/>
          <w:sz w:val="22"/>
          <w:szCs w:val="22"/>
        </w:rPr>
        <w:t>Proposal 2</w:t>
      </w:r>
      <w:r>
        <w:rPr>
          <w:sz w:val="22"/>
          <w:szCs w:val="22"/>
        </w:rPr>
        <w:t xml:space="preserve">: </w:t>
      </w:r>
    </w:p>
    <w:p w14:paraId="45F85CDA" w14:textId="77777777" w:rsidR="006C1F57" w:rsidRPr="00272FEC" w:rsidRDefault="006C1F57" w:rsidP="006C1F57">
      <w:pPr>
        <w:pStyle w:val="ListParagraph"/>
        <w:numPr>
          <w:ilvl w:val="0"/>
          <w:numId w:val="35"/>
        </w:numPr>
        <w:spacing w:before="240"/>
        <w:jc w:val="both"/>
        <w:rPr>
          <w:rFonts w:ascii="Times New Roman" w:hAnsi="Times New Roman"/>
          <w:i/>
          <w:iCs/>
        </w:rPr>
      </w:pPr>
      <w:r w:rsidRPr="00272FEC">
        <w:rPr>
          <w:rFonts w:ascii="Times New Roman" w:hAnsi="Times New Roman"/>
          <w:i/>
          <w:iCs/>
        </w:rPr>
        <w:t>Common timing advance (TA) value can be used to determine common slot offset (Koffset) if common TA indication is supported</w:t>
      </w:r>
    </w:p>
    <w:p w14:paraId="640EE532" w14:textId="77777777" w:rsidR="006C1F57" w:rsidRPr="00272FEC" w:rsidRDefault="006C1F57" w:rsidP="006C1F57">
      <w:pPr>
        <w:pStyle w:val="ListParagraph"/>
        <w:numPr>
          <w:ilvl w:val="0"/>
          <w:numId w:val="35"/>
        </w:numPr>
        <w:spacing w:before="240"/>
        <w:jc w:val="both"/>
        <w:rPr>
          <w:rFonts w:ascii="Times New Roman" w:hAnsi="Times New Roman"/>
          <w:i/>
          <w:iCs/>
        </w:rPr>
      </w:pPr>
      <w:r>
        <w:rPr>
          <w:rFonts w:ascii="Times New Roman" w:hAnsi="Times New Roman"/>
          <w:i/>
          <w:iCs/>
        </w:rPr>
        <w:t>B</w:t>
      </w:r>
      <w:r w:rsidRPr="00272FEC">
        <w:rPr>
          <w:rFonts w:ascii="Times New Roman" w:hAnsi="Times New Roman"/>
          <w:i/>
          <w:iCs/>
        </w:rPr>
        <w:t>eam-specific</w:t>
      </w:r>
      <w:r>
        <w:rPr>
          <w:rFonts w:ascii="Times New Roman" w:hAnsi="Times New Roman"/>
          <w:i/>
          <w:iCs/>
        </w:rPr>
        <w:t xml:space="preserve"> indication of</w:t>
      </w:r>
      <w:r w:rsidRPr="00272FEC">
        <w:rPr>
          <w:rFonts w:ascii="Times New Roman" w:hAnsi="Times New Roman"/>
          <w:i/>
          <w:iCs/>
        </w:rPr>
        <w:t xml:space="preserve"> Koffset value</w:t>
      </w:r>
      <w:r>
        <w:rPr>
          <w:rFonts w:ascii="Times New Roman" w:hAnsi="Times New Roman"/>
          <w:i/>
          <w:iCs/>
        </w:rPr>
        <w:t xml:space="preserve"> should be supported</w:t>
      </w:r>
    </w:p>
    <w:p w14:paraId="5ADD5C30" w14:textId="25C4C95A" w:rsidR="00552B68" w:rsidRPr="00930DFC" w:rsidRDefault="006C1F57" w:rsidP="00552B68">
      <w:pPr>
        <w:pStyle w:val="ListParagraph"/>
        <w:numPr>
          <w:ilvl w:val="0"/>
          <w:numId w:val="35"/>
        </w:numPr>
        <w:spacing w:before="240"/>
        <w:jc w:val="both"/>
        <w:rPr>
          <w:rFonts w:ascii="Times New Roman" w:hAnsi="Times New Roman"/>
          <w:i/>
          <w:iCs/>
        </w:rPr>
      </w:pPr>
      <w:r w:rsidRPr="00272FEC">
        <w:rPr>
          <w:rFonts w:ascii="Times New Roman" w:hAnsi="Times New Roman"/>
          <w:i/>
          <w:iCs/>
        </w:rPr>
        <w:t>Koffset value should be common for all applicable physical layer procedures</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4F2164D6" w:rsidR="00AD3274" w:rsidRDefault="00CF7DE4" w:rsidP="008B2811">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F263444" w14:textId="535AEA83" w:rsidR="00F225E4" w:rsidRPr="007D4301" w:rsidRDefault="007D4301" w:rsidP="005309FF">
      <w:pPr>
        <w:numPr>
          <w:ilvl w:val="0"/>
          <w:numId w:val="2"/>
        </w:numPr>
        <w:rPr>
          <w:sz w:val="22"/>
          <w:lang w:eastAsia="zh-CN"/>
        </w:rPr>
      </w:pPr>
      <w:r w:rsidRPr="007D4301">
        <w:rPr>
          <w:sz w:val="22"/>
          <w:lang w:eastAsia="zh-CN"/>
        </w:rPr>
        <w:t>RAN1 Chairman’s Notes, 3GPP TSG RAN WG1 Meeting #102-e</w:t>
      </w:r>
      <w:r>
        <w:rPr>
          <w:sz w:val="22"/>
          <w:lang w:eastAsia="zh-CN"/>
        </w:rPr>
        <w:t xml:space="preserve">, </w:t>
      </w:r>
      <w:r w:rsidRPr="007D4301">
        <w:rPr>
          <w:sz w:val="22"/>
          <w:lang w:eastAsia="zh-CN"/>
        </w:rPr>
        <w:t>e-Meeting, August 17th – 28th, 2020</w:t>
      </w:r>
    </w:p>
    <w:sectPr w:rsidR="00F225E4" w:rsidRPr="007D4301"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A0BB0" w14:textId="77777777" w:rsidR="008E1668" w:rsidRDefault="008E1668">
      <w:r>
        <w:separator/>
      </w:r>
    </w:p>
  </w:endnote>
  <w:endnote w:type="continuationSeparator" w:id="0">
    <w:p w14:paraId="095A9B95" w14:textId="77777777" w:rsidR="008E1668" w:rsidRDefault="008E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70E8" w14:textId="77777777" w:rsidR="00522D85" w:rsidRDefault="00522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713D" w14:textId="77777777" w:rsidR="008E1668" w:rsidRDefault="008E1668">
      <w:r>
        <w:separator/>
      </w:r>
    </w:p>
  </w:footnote>
  <w:footnote w:type="continuationSeparator" w:id="0">
    <w:p w14:paraId="4F31FF49" w14:textId="77777777" w:rsidR="008E1668" w:rsidRDefault="008E1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E6EA2" w14:textId="77777777" w:rsidR="00522D85" w:rsidRDefault="00522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DCD5E" w14:textId="77777777" w:rsidR="00522D85" w:rsidRDefault="00522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6A0372"/>
    <w:multiLevelType w:val="hybridMultilevel"/>
    <w:tmpl w:val="B24A4C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591BA4"/>
    <w:multiLevelType w:val="hybridMultilevel"/>
    <w:tmpl w:val="56B6E57C"/>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1903A88"/>
    <w:multiLevelType w:val="hybridMultilevel"/>
    <w:tmpl w:val="D0224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1"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3438CE"/>
    <w:multiLevelType w:val="multilevel"/>
    <w:tmpl w:val="D6FC4482"/>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35"/>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0"/>
  </w:num>
  <w:num w:numId="7">
    <w:abstractNumId w:val="4"/>
  </w:num>
  <w:num w:numId="8">
    <w:abstractNumId w:val="31"/>
  </w:num>
  <w:num w:numId="9">
    <w:abstractNumId w:val="2"/>
  </w:num>
  <w:num w:numId="10">
    <w:abstractNumId w:val="3"/>
  </w:num>
  <w:num w:numId="11">
    <w:abstractNumId w:val="5"/>
  </w:num>
  <w:num w:numId="12">
    <w:abstractNumId w:val="9"/>
  </w:num>
  <w:num w:numId="13">
    <w:abstractNumId w:val="28"/>
  </w:num>
  <w:num w:numId="14">
    <w:abstractNumId w:val="34"/>
  </w:num>
  <w:num w:numId="15">
    <w:abstractNumId w:val="6"/>
  </w:num>
  <w:num w:numId="16">
    <w:abstractNumId w:val="19"/>
  </w:num>
  <w:num w:numId="17">
    <w:abstractNumId w:val="27"/>
  </w:num>
  <w:num w:numId="18">
    <w:abstractNumId w:val="23"/>
  </w:num>
  <w:num w:numId="19">
    <w:abstractNumId w:val="21"/>
  </w:num>
  <w:num w:numId="20">
    <w:abstractNumId w:val="29"/>
  </w:num>
  <w:num w:numId="21">
    <w:abstractNumId w:val="33"/>
  </w:num>
  <w:num w:numId="22">
    <w:abstractNumId w:val="10"/>
  </w:num>
  <w:num w:numId="23">
    <w:abstractNumId w:val="32"/>
  </w:num>
  <w:num w:numId="24">
    <w:abstractNumId w:val="25"/>
  </w:num>
  <w:num w:numId="25">
    <w:abstractNumId w:val="7"/>
  </w:num>
  <w:num w:numId="26">
    <w:abstractNumId w:val="17"/>
  </w:num>
  <w:num w:numId="27">
    <w:abstractNumId w:val="15"/>
  </w:num>
  <w:num w:numId="28">
    <w:abstractNumId w:val="20"/>
  </w:num>
  <w:num w:numId="29">
    <w:abstractNumId w:val="22"/>
  </w:num>
  <w:num w:numId="30">
    <w:abstractNumId w:val="14"/>
  </w:num>
  <w:num w:numId="31">
    <w:abstractNumId w:val="26"/>
  </w:num>
  <w:num w:numId="32">
    <w:abstractNumId w:val="8"/>
  </w:num>
  <w:num w:numId="33">
    <w:abstractNumId w:val="1"/>
  </w:num>
  <w:num w:numId="34">
    <w:abstractNumId w:val="16"/>
  </w:num>
  <w:num w:numId="3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3CEE"/>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9C6"/>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1F14"/>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A23"/>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91A"/>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8FA"/>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B4B"/>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8A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59"/>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27F40"/>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C68"/>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A99"/>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A54"/>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2"/>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2D1"/>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82"/>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8CD"/>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DF7"/>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525"/>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4AE5"/>
    <w:rsid w:val="00234AEE"/>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C90"/>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2FEC"/>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6"/>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2CF5"/>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55"/>
    <w:rsid w:val="003137A0"/>
    <w:rsid w:val="003137ED"/>
    <w:rsid w:val="00313A6F"/>
    <w:rsid w:val="00313C4F"/>
    <w:rsid w:val="00313CF8"/>
    <w:rsid w:val="00313E2B"/>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840"/>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141"/>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1D8"/>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A75"/>
    <w:rsid w:val="003F7DFF"/>
    <w:rsid w:val="003F7F69"/>
    <w:rsid w:val="00400032"/>
    <w:rsid w:val="0040015E"/>
    <w:rsid w:val="004001DF"/>
    <w:rsid w:val="00400427"/>
    <w:rsid w:val="0040045D"/>
    <w:rsid w:val="004007D3"/>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D5"/>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FD6"/>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EFF"/>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91"/>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5E62"/>
    <w:rsid w:val="005160BC"/>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2D85"/>
    <w:rsid w:val="00523366"/>
    <w:rsid w:val="00523DCA"/>
    <w:rsid w:val="00523E18"/>
    <w:rsid w:val="00523E2D"/>
    <w:rsid w:val="00523EAD"/>
    <w:rsid w:val="00523F32"/>
    <w:rsid w:val="0052422C"/>
    <w:rsid w:val="00524458"/>
    <w:rsid w:val="005244D5"/>
    <w:rsid w:val="005245A9"/>
    <w:rsid w:val="0052484A"/>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BAB"/>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08A"/>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B68"/>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A7D"/>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4E1"/>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B63"/>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9AD"/>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7D8"/>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613"/>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95D"/>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77C"/>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D42"/>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1F57"/>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045"/>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3FFB"/>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5C4"/>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C6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0C"/>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99"/>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47"/>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301"/>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9FF"/>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1FC"/>
    <w:rsid w:val="007F7864"/>
    <w:rsid w:val="007F795B"/>
    <w:rsid w:val="007F7AF9"/>
    <w:rsid w:val="007F7B6D"/>
    <w:rsid w:val="007F7C2F"/>
    <w:rsid w:val="007F7CF1"/>
    <w:rsid w:val="007F7D3C"/>
    <w:rsid w:val="007F7F74"/>
    <w:rsid w:val="00800104"/>
    <w:rsid w:val="00800184"/>
    <w:rsid w:val="0080024C"/>
    <w:rsid w:val="008004B6"/>
    <w:rsid w:val="00800994"/>
    <w:rsid w:val="00800A1C"/>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91C"/>
    <w:rsid w:val="00816A54"/>
    <w:rsid w:val="00816D94"/>
    <w:rsid w:val="00817508"/>
    <w:rsid w:val="00817636"/>
    <w:rsid w:val="0081787C"/>
    <w:rsid w:val="00817B8F"/>
    <w:rsid w:val="00817C96"/>
    <w:rsid w:val="00817D2A"/>
    <w:rsid w:val="00817F27"/>
    <w:rsid w:val="00820293"/>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950"/>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999"/>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6C6"/>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2AC"/>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D73"/>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668"/>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5A"/>
    <w:rsid w:val="008E7DB3"/>
    <w:rsid w:val="008F01AB"/>
    <w:rsid w:val="008F0460"/>
    <w:rsid w:val="008F0537"/>
    <w:rsid w:val="008F0583"/>
    <w:rsid w:val="008F082F"/>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BA3"/>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3E3"/>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0DFC"/>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C5F"/>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9C"/>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309"/>
    <w:rsid w:val="0095277B"/>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2CD"/>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69E"/>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C2"/>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6FAE"/>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6E5"/>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331"/>
    <w:rsid w:val="00A64BC7"/>
    <w:rsid w:val="00A64EB1"/>
    <w:rsid w:val="00A65354"/>
    <w:rsid w:val="00A657CF"/>
    <w:rsid w:val="00A659FD"/>
    <w:rsid w:val="00A65C68"/>
    <w:rsid w:val="00A65FBF"/>
    <w:rsid w:val="00A66089"/>
    <w:rsid w:val="00A66680"/>
    <w:rsid w:val="00A6679E"/>
    <w:rsid w:val="00A66A0F"/>
    <w:rsid w:val="00A66A5A"/>
    <w:rsid w:val="00A66CAC"/>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939"/>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8D4"/>
    <w:rsid w:val="00A85CD8"/>
    <w:rsid w:val="00A85E66"/>
    <w:rsid w:val="00A85FFF"/>
    <w:rsid w:val="00A865AF"/>
    <w:rsid w:val="00A86736"/>
    <w:rsid w:val="00A86ACD"/>
    <w:rsid w:val="00A86FEF"/>
    <w:rsid w:val="00A87069"/>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275"/>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24"/>
    <w:rsid w:val="00AA53BC"/>
    <w:rsid w:val="00AA5584"/>
    <w:rsid w:val="00AA5903"/>
    <w:rsid w:val="00AA59AA"/>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B7C6D"/>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E3F"/>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266"/>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680"/>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BE"/>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E3"/>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98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799"/>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47"/>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10"/>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1"/>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0DBE"/>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3E20"/>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74"/>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55"/>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F1"/>
    <w:rsid w:val="00C72852"/>
    <w:rsid w:val="00C728C4"/>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B7"/>
    <w:rsid w:val="00C91CFB"/>
    <w:rsid w:val="00C91FAC"/>
    <w:rsid w:val="00C921D1"/>
    <w:rsid w:val="00C9220C"/>
    <w:rsid w:val="00C92215"/>
    <w:rsid w:val="00C922C5"/>
    <w:rsid w:val="00C92352"/>
    <w:rsid w:val="00C92376"/>
    <w:rsid w:val="00C925DE"/>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30"/>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E2B"/>
    <w:rsid w:val="00D30FC7"/>
    <w:rsid w:val="00D31411"/>
    <w:rsid w:val="00D31B49"/>
    <w:rsid w:val="00D31B9F"/>
    <w:rsid w:val="00D31BEA"/>
    <w:rsid w:val="00D32590"/>
    <w:rsid w:val="00D32B6E"/>
    <w:rsid w:val="00D32BB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0D3"/>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028"/>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790"/>
    <w:rsid w:val="00D65837"/>
    <w:rsid w:val="00D65989"/>
    <w:rsid w:val="00D65A79"/>
    <w:rsid w:val="00D65AAD"/>
    <w:rsid w:val="00D65D0D"/>
    <w:rsid w:val="00D65E01"/>
    <w:rsid w:val="00D66022"/>
    <w:rsid w:val="00D66065"/>
    <w:rsid w:val="00D661CB"/>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BF"/>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D60"/>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1AE0"/>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478"/>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CA1"/>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ACA"/>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9C"/>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CCD"/>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D8D"/>
    <w:rsid w:val="00EB7E4D"/>
    <w:rsid w:val="00EB7FE8"/>
    <w:rsid w:val="00EC045E"/>
    <w:rsid w:val="00EC069E"/>
    <w:rsid w:val="00EC086A"/>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C7F4A"/>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6BA"/>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52"/>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9E6"/>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1CC"/>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7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0D8"/>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9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36D5AC-0ADE-4FD1-801B-93861BD7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8494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6</cp:revision>
  <cp:lastPrinted>2011-11-09T07:49:00Z</cp:lastPrinted>
  <dcterms:created xsi:type="dcterms:W3CDTF">2020-10-23T17:37:00Z</dcterms:created>
  <dcterms:modified xsi:type="dcterms:W3CDTF">2020-10-24T05:20:00Z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2020-08-08 04:48:52Z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2020-10-20T12:56:33.5414177Z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5a680ecf-741a-43f6-8774-ea477980b259</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